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EHCP Transition Planner</w:t>
      </w:r>
    </w:p>
    <w:p>
      <w:pPr>
        <w:spacing w:after="360"/>
        <w:jc w:val="center"/>
      </w:pPr>
      <w:r>
        <w:rPr>
          <w:i/>
          <w:iCs/>
          <w:sz w:val="22"/>
          <w:szCs w:val="22"/>
        </w:rPr>
        <w:t xml:space="preserve">England</w:t>
      </w:r>
    </w:p>
    <w:p>
      <w:pPr>
        <w:spacing w:after="480"/>
        <w:jc w:val="center"/>
      </w:pPr>
      <w:r>
        <w:rPr>
          <w:i/>
          <w:iCs/>
        </w:rPr>
        <w:t xml:space="preserve">For change points and uncertainty</w:t>
      </w:r>
    </w:p>
    <w:p>
      <w:pPr>
        <w:pStyle w:val="Heading1"/>
      </w:pPr>
      <w:r>
        <w:t xml:space="preserve">What this planner is</w:t>
      </w:r>
    </w:p>
    <w:p>
      <w:pPr>
        <w:spacing w:after="240"/>
      </w:pPr>
      <w:r>
        <w:t xml:space="preserve">This planner helps you track transitions such as:</w:t>
      </w:r>
    </w:p>
    <w:p>
      <w:pPr>
        <w:pStyle w:val="ListParagraph"/>
        <w:numPr>
          <w:ilvl w:val="0"/>
          <w:numId w:val="2"/>
        </w:numPr>
      </w:pPr>
      <w:r>
        <w:t xml:space="preserve">School to home education</w:t>
      </w:r>
    </w:p>
    <w:p>
      <w:pPr>
        <w:pStyle w:val="ListParagraph"/>
        <w:numPr>
          <w:ilvl w:val="0"/>
          <w:numId w:val="2"/>
        </w:numPr>
      </w:pPr>
      <w:r>
        <w:t xml:space="preserve">Phase changes (primary to secondary)</w:t>
      </w:r>
    </w:p>
    <w:p>
      <w:pPr>
        <w:pStyle w:val="ListParagraph"/>
        <w:numPr>
          <w:ilvl w:val="0"/>
          <w:numId w:val="2"/>
        </w:numPr>
      </w:pPr>
      <w:r>
        <w:t xml:space="preserve">Placement breakdowns</w:t>
      </w:r>
    </w:p>
    <w:p>
      <w:pPr>
        <w:pStyle w:val="ListParagraph"/>
        <w:numPr>
          <w:ilvl w:val="0"/>
          <w:numId w:val="2"/>
        </w:numPr>
      </w:pPr>
      <w:r>
        <w:t xml:space="preserve">Provision changes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Support gaps</w:t>
      </w:r>
    </w:p>
    <w:p>
      <w:pPr>
        <w:pStyle w:val="Heading1"/>
      </w:pPr>
      <w:r>
        <w:t xml:space="preserve">Transition timeline</w:t>
      </w:r>
    </w:p>
    <w:p>
      <w:pPr>
        <w:spacing w:after="240"/>
      </w:pPr>
      <w:r>
        <w:t xml:space="preserve">Use the table below to record key dates and milestones.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Event / Decision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Questions to ask</w:t>
      </w:r>
    </w:p>
    <w:p>
      <w:pPr>
        <w:spacing w:after="240"/>
      </w:pPr>
      <w:r>
        <w:t xml:space="preserve">Record the answers to these questions as you navigate the transition:</w:t>
      </w:r>
    </w:p>
    <w:p>
      <w:pPr>
        <w:pStyle w:val="ListParagraph"/>
        <w:numPr>
          <w:ilvl w:val="0"/>
          <w:numId w:val="2"/>
        </w:numPr>
      </w:pPr>
      <w:r>
        <w:t xml:space="preserve">What support is legally in place?</w:t>
      </w:r>
    </w:p>
    <w:p>
      <w:pPr>
        <w:pStyle w:val="ListParagraph"/>
        <w:numPr>
          <w:ilvl w:val="0"/>
          <w:numId w:val="2"/>
        </w:numPr>
      </w:pPr>
      <w:r>
        <w:t xml:space="preserve">What happens during any gap in provision?</w:t>
      </w:r>
    </w:p>
    <w:p>
      <w:pPr>
        <w:pStyle w:val="ListParagraph"/>
        <w:numPr>
          <w:ilvl w:val="0"/>
          <w:numId w:val="2"/>
        </w:numPr>
      </w:pPr>
      <w:r>
        <w:t xml:space="preserve">Who is responsible for arranging support?</w:t>
      </w:r>
    </w:p>
    <w:p>
      <w:pPr>
        <w:pStyle w:val="ListParagraph"/>
        <w:numPr>
          <w:ilvl w:val="0"/>
          <w:numId w:val="2"/>
        </w:numPr>
      </w:pPr>
      <w:r>
        <w:t xml:space="preserve">When is the next review?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What has been promised in writing?</w:t>
      </w:r>
    </w:p>
    <w:p>
      <w:pPr>
        <w:pStyle w:val="Heading1"/>
      </w:pPr>
      <w:r>
        <w:t xml:space="preserve">Evidence checklist</w:t>
      </w:r>
    </w:p>
    <w:p>
      <w:pPr>
        <w:spacing w:after="240"/>
      </w:pPr>
      <w:r>
        <w:t xml:space="preserve">Collect and keep copies of:</w:t>
      </w:r>
    </w:p>
    <w:p>
      <w:pPr>
        <w:pStyle w:val="ListParagraph"/>
        <w:numPr>
          <w:ilvl w:val="0"/>
          <w:numId w:val="2"/>
        </w:numPr>
      </w:pPr>
      <w:r>
        <w:t xml:space="preserve">Current EHCP</w:t>
      </w:r>
    </w:p>
    <w:p>
      <w:pPr>
        <w:pStyle w:val="ListParagraph"/>
        <w:numPr>
          <w:ilvl w:val="0"/>
          <w:numId w:val="2"/>
        </w:numPr>
      </w:pPr>
      <w:r>
        <w:t xml:space="preserve">Previous annual reviews</w:t>
      </w:r>
    </w:p>
    <w:p>
      <w:pPr>
        <w:pStyle w:val="ListParagraph"/>
        <w:numPr>
          <w:ilvl w:val="0"/>
          <w:numId w:val="2"/>
        </w:numPr>
      </w:pPr>
      <w:r>
        <w:t xml:space="preserve">Emails and letters</w:t>
      </w:r>
    </w:p>
    <w:p>
      <w:pPr>
        <w:pStyle w:val="ListParagraph"/>
        <w:numPr>
          <w:ilvl w:val="0"/>
          <w:numId w:val="2"/>
        </w:numPr>
      </w:pPr>
      <w:r>
        <w:t xml:space="preserve">Attendance records</w:t>
      </w:r>
    </w:p>
    <w:p>
      <w:pPr>
        <w:pStyle w:val="ListParagraph"/>
        <w:numPr>
          <w:ilvl w:val="0"/>
          <w:numId w:val="2"/>
        </w:numPr>
      </w:pPr>
      <w:r>
        <w:t xml:space="preserve">Medical letters</w:t>
      </w:r>
    </w:p>
    <w:p>
      <w:pPr>
        <w:pStyle w:val="ListParagraph"/>
        <w:numPr>
          <w:ilvl w:val="0"/>
          <w:numId w:val="2"/>
        </w:numPr>
      </w:pPr>
      <w:r>
        <w:t xml:space="preserve">Reports from professionals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Photos of visible impact (if appropriate)</w:t>
      </w:r>
    </w:p>
    <w:p>
      <w:pPr>
        <w:pStyle w:val="Heading1"/>
      </w:pPr>
      <w:r>
        <w:t xml:space="preserve">Support gaps</w:t>
      </w:r>
    </w:p>
    <w:p>
      <w:pPr>
        <w:spacing w:after="240"/>
      </w:pPr>
      <w:r>
        <w:t xml:space="preserve">Note where support has stopped or failed: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Type of Support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Gap / Issue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Parent notes</w:t>
      </w:r>
    </w:p>
    <w:p>
      <w:pPr>
        <w:spacing w:after="240"/>
      </w:pPr>
      <w:r>
        <w:t xml:space="preserve">Use this space to write concerns, patterns, and impact: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60"/>
      </w:pPr>
      <w:r>
        <w:t xml:space="preserve">_______________________________________________________________________________</w:t>
      </w:r>
    </w:p>
    <w:p>
      <w:pPr>
        <w:spacing w:after="480"/>
      </w:pPr>
      <w:r>
        <w:t xml:space="preserve">_______________________________________________________________________________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planner provides general information for England only.</w:t>
      </w:r>
    </w:p>
    <w:p>
      <w:pPr>
        <w:spacing w:after="60"/>
      </w:pPr>
      <w:r>
        <w:rPr>
          <w:i/>
          <w:iCs/>
        </w:rPr>
        <w:t xml:space="preserve">It does not replace legal advice.</w:t>
      </w:r>
    </w:p>
    <w:p>
      <w:r>
        <w:rPr>
          <w:i/>
          <w:iCs/>
        </w:rPr>
        <w:t xml:space="preserve">Local authority practice varies.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2025-12-17T10:47:43.182Z</dcterms:created>
  <dcterms:modified xsi:type="dcterms:W3CDTF">2025-12-17T10:47:43.183Z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